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ANALYSES WEEK 6</w:t>
      </w: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Wiltzen</w:t>
      </w:r>
      <w:proofErr w:type="spellEnd"/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2480-01: Gender Sexuality and History in Film</w:t>
      </w:r>
    </w:p>
    <w:p w:rsidR="00E26544" w:rsidRDefault="00E26544" w:rsidP="00E26544">
      <w:pPr>
        <w:jc w:val="center"/>
        <w:rPr>
          <w:rFonts w:ascii="Times New Roman" w:hAnsi="Times New Roman" w:cs="Times New Roman"/>
          <w:sz w:val="24"/>
          <w:szCs w:val="24"/>
        </w:rPr>
        <w:sectPr w:rsidR="00E26544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October 10, 2017</w:t>
      </w:r>
    </w:p>
    <w:p w:rsidR="00711145" w:rsidRDefault="001357F8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3D11">
        <w:rPr>
          <w:rFonts w:ascii="Times New Roman" w:hAnsi="Times New Roman" w:cs="Times New Roman"/>
          <w:sz w:val="24"/>
          <w:szCs w:val="24"/>
        </w:rPr>
        <w:t xml:space="preserve">The theme of this weeks reading was largely based on </w:t>
      </w:r>
      <w:r w:rsidR="00A72C67">
        <w:rPr>
          <w:rFonts w:ascii="Times New Roman" w:hAnsi="Times New Roman" w:cs="Times New Roman"/>
          <w:sz w:val="24"/>
          <w:szCs w:val="24"/>
        </w:rPr>
        <w:t xml:space="preserve">the </w:t>
      </w:r>
      <w:r w:rsidR="00053D11">
        <w:rPr>
          <w:rFonts w:ascii="Times New Roman" w:hAnsi="Times New Roman" w:cs="Times New Roman"/>
          <w:sz w:val="24"/>
          <w:szCs w:val="24"/>
        </w:rPr>
        <w:t xml:space="preserve">gender </w:t>
      </w:r>
      <w:r w:rsidR="00A72C67">
        <w:rPr>
          <w:rFonts w:ascii="Times New Roman" w:hAnsi="Times New Roman" w:cs="Times New Roman"/>
          <w:sz w:val="24"/>
          <w:szCs w:val="24"/>
        </w:rPr>
        <w:t>constructions</w:t>
      </w:r>
      <w:r w:rsidR="00053D11">
        <w:rPr>
          <w:rFonts w:ascii="Times New Roman" w:hAnsi="Times New Roman" w:cs="Times New Roman"/>
          <w:sz w:val="24"/>
          <w:szCs w:val="24"/>
        </w:rPr>
        <w:t xml:space="preserve"> of our society and whether </w:t>
      </w:r>
      <w:r w:rsidR="00A72C67">
        <w:rPr>
          <w:rFonts w:ascii="Times New Roman" w:hAnsi="Times New Roman" w:cs="Times New Roman"/>
          <w:sz w:val="24"/>
          <w:szCs w:val="24"/>
        </w:rPr>
        <w:t>gender is the base with which we execute a political standing for the argument of equality</w:t>
      </w:r>
      <w:r w:rsidR="005A4950">
        <w:rPr>
          <w:rFonts w:ascii="Times New Roman" w:hAnsi="Times New Roman" w:cs="Times New Roman"/>
          <w:sz w:val="24"/>
          <w:szCs w:val="24"/>
        </w:rPr>
        <w:t xml:space="preserve">. </w:t>
      </w:r>
      <w:r w:rsidR="00A72C67">
        <w:rPr>
          <w:rFonts w:ascii="Times New Roman" w:hAnsi="Times New Roman" w:cs="Times New Roman"/>
          <w:sz w:val="24"/>
          <w:szCs w:val="24"/>
        </w:rPr>
        <w:t xml:space="preserve"> </w:t>
      </w:r>
      <w:r w:rsidR="005A4950">
        <w:rPr>
          <w:rFonts w:ascii="Times New Roman" w:hAnsi="Times New Roman" w:cs="Times New Roman"/>
          <w:sz w:val="24"/>
          <w:szCs w:val="24"/>
        </w:rPr>
        <w:t>Both readings drew a large focus on the analyses of woman and what being a woman constitutes</w:t>
      </w:r>
      <w:r w:rsidR="00C87708">
        <w:rPr>
          <w:rFonts w:ascii="Times New Roman" w:hAnsi="Times New Roman" w:cs="Times New Roman"/>
          <w:sz w:val="24"/>
          <w:szCs w:val="24"/>
        </w:rPr>
        <w:t xml:space="preserve"> in a political standpoint. </w:t>
      </w:r>
      <w:r w:rsidR="006F0B62">
        <w:rPr>
          <w:rFonts w:ascii="Times New Roman" w:hAnsi="Times New Roman" w:cs="Times New Roman"/>
          <w:sz w:val="24"/>
          <w:szCs w:val="24"/>
        </w:rPr>
        <w:t>Scott from his work “</w:t>
      </w:r>
      <w:r w:rsidR="006F0B62">
        <w:rPr>
          <w:rFonts w:ascii="Times New Roman" w:hAnsi="Times New Roman" w:cs="Times New Roman"/>
          <w:sz w:val="24"/>
          <w:szCs w:val="24"/>
        </w:rPr>
        <w:t>Deconstructing Equality-versus-Difference</w:t>
      </w:r>
      <w:r w:rsidR="006F0B62">
        <w:rPr>
          <w:rFonts w:ascii="Times New Roman" w:hAnsi="Times New Roman" w:cs="Times New Roman"/>
          <w:sz w:val="24"/>
          <w:szCs w:val="24"/>
        </w:rPr>
        <w:t>” argues the standpoi</w:t>
      </w:r>
      <w:r w:rsidR="00C87708">
        <w:rPr>
          <w:rFonts w:ascii="Times New Roman" w:hAnsi="Times New Roman" w:cs="Times New Roman"/>
          <w:sz w:val="24"/>
          <w:szCs w:val="24"/>
        </w:rPr>
        <w:t>nt of the feminist saying that,</w:t>
      </w:r>
      <w:r w:rsidR="006F0B62">
        <w:rPr>
          <w:rFonts w:ascii="Times New Roman" w:hAnsi="Times New Roman" w:cs="Times New Roman"/>
          <w:sz w:val="24"/>
          <w:szCs w:val="24"/>
        </w:rPr>
        <w:t xml:space="preserve"> “Equality that rests on differences – differences that confound, </w:t>
      </w:r>
      <w:r w:rsidR="00C87708">
        <w:rPr>
          <w:rFonts w:ascii="Times New Roman" w:hAnsi="Times New Roman" w:cs="Times New Roman"/>
          <w:sz w:val="24"/>
          <w:szCs w:val="24"/>
        </w:rPr>
        <w:t>disrupt</w:t>
      </w:r>
      <w:r w:rsidR="00C41924">
        <w:rPr>
          <w:rFonts w:ascii="Times New Roman" w:hAnsi="Times New Roman" w:cs="Times New Roman"/>
          <w:sz w:val="24"/>
          <w:szCs w:val="24"/>
        </w:rPr>
        <w:t>, and render ambiguous in</w:t>
      </w:r>
      <w:r w:rsidR="006F0B62">
        <w:rPr>
          <w:rFonts w:ascii="Times New Roman" w:hAnsi="Times New Roman" w:cs="Times New Roman"/>
          <w:sz w:val="24"/>
          <w:szCs w:val="24"/>
        </w:rPr>
        <w:t xml:space="preserve"> meaning of any fixed binary opposition. To do anything else is to buy into the political argument that sameness is the requirement for equality.”</w:t>
      </w:r>
      <w:r w:rsidR="006F0B6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87708">
        <w:rPr>
          <w:rFonts w:ascii="Times New Roman" w:hAnsi="Times New Roman" w:cs="Times New Roman"/>
          <w:sz w:val="24"/>
          <w:szCs w:val="24"/>
        </w:rPr>
        <w:t xml:space="preserve"> What I believe Scott is saying is that equality in the political eye is not so transparent when incorporating gender. There </w:t>
      </w:r>
      <w:r w:rsidR="00C41924">
        <w:rPr>
          <w:rFonts w:ascii="Times New Roman" w:hAnsi="Times New Roman" w:cs="Times New Roman"/>
          <w:sz w:val="24"/>
          <w:szCs w:val="24"/>
        </w:rPr>
        <w:t>are</w:t>
      </w:r>
      <w:r w:rsidR="00C87708">
        <w:rPr>
          <w:rFonts w:ascii="Times New Roman" w:hAnsi="Times New Roman" w:cs="Times New Roman"/>
          <w:sz w:val="24"/>
          <w:szCs w:val="24"/>
        </w:rPr>
        <w:t xml:space="preserve"> differences in gender that should be accounted for but that shouldn’t change the argument of equality among men and women, rather these differences are as he says</w:t>
      </w:r>
      <w:r w:rsidR="00C41924">
        <w:rPr>
          <w:rFonts w:ascii="Times New Roman" w:hAnsi="Times New Roman" w:cs="Times New Roman"/>
          <w:sz w:val="24"/>
          <w:szCs w:val="24"/>
        </w:rPr>
        <w:t>,</w:t>
      </w:r>
      <w:r w:rsidR="00C87708">
        <w:rPr>
          <w:rFonts w:ascii="Times New Roman" w:hAnsi="Times New Roman" w:cs="Times New Roman"/>
          <w:sz w:val="24"/>
          <w:szCs w:val="24"/>
        </w:rPr>
        <w:t xml:space="preserve"> </w:t>
      </w:r>
      <w:r w:rsidR="00B54E02">
        <w:rPr>
          <w:rFonts w:ascii="Times New Roman" w:hAnsi="Times New Roman" w:cs="Times New Roman"/>
          <w:sz w:val="24"/>
          <w:szCs w:val="24"/>
        </w:rPr>
        <w:t xml:space="preserve">“Ambiguous in meaning” and therefore inconspicuous in the argument of equality. </w:t>
      </w:r>
      <w:r w:rsidR="006F0B62">
        <w:rPr>
          <w:rFonts w:ascii="Times New Roman" w:hAnsi="Times New Roman" w:cs="Times New Roman"/>
          <w:sz w:val="24"/>
          <w:szCs w:val="24"/>
        </w:rPr>
        <w:t>Butler from his work “</w:t>
      </w:r>
      <w:r w:rsidR="00C41924">
        <w:rPr>
          <w:rFonts w:ascii="Times New Roman" w:hAnsi="Times New Roman" w:cs="Times New Roman"/>
          <w:sz w:val="24"/>
          <w:szCs w:val="24"/>
        </w:rPr>
        <w:t>Subjects of Sex/Gender/</w:t>
      </w:r>
      <w:r w:rsidR="006F0B62">
        <w:rPr>
          <w:rFonts w:ascii="Times New Roman" w:hAnsi="Times New Roman" w:cs="Times New Roman"/>
          <w:sz w:val="24"/>
          <w:szCs w:val="24"/>
        </w:rPr>
        <w:t>Desire”</w:t>
      </w:r>
      <w:r w:rsidR="00B54E02">
        <w:rPr>
          <w:rFonts w:ascii="Times New Roman" w:hAnsi="Times New Roman" w:cs="Times New Roman"/>
          <w:sz w:val="24"/>
          <w:szCs w:val="24"/>
        </w:rPr>
        <w:t xml:space="preserve"> further elaborates and supports this argument in saying, “This rough sketch of gender gives us a clue to understand the political reasons for the substantializing view of gender,”</w:t>
      </w:r>
      <w:r w:rsidR="00C41924">
        <w:rPr>
          <w:rFonts w:ascii="Times New Roman" w:hAnsi="Times New Roman" w:cs="Times New Roman"/>
          <w:sz w:val="24"/>
          <w:szCs w:val="24"/>
        </w:rPr>
        <w:t xml:space="preserve"> he g</w:t>
      </w:r>
      <w:r w:rsidR="00B54E02">
        <w:rPr>
          <w:rFonts w:ascii="Times New Roman" w:hAnsi="Times New Roman" w:cs="Times New Roman"/>
          <w:sz w:val="24"/>
          <w:szCs w:val="24"/>
        </w:rPr>
        <w:t>oes on to say, “The act of differentiating the two oppositional moments of the binary results in a consolation of each term.”</w:t>
      </w:r>
      <w:r w:rsidR="00B54E0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54E02">
        <w:rPr>
          <w:rFonts w:ascii="Times New Roman" w:hAnsi="Times New Roman" w:cs="Times New Roman"/>
          <w:sz w:val="24"/>
          <w:szCs w:val="24"/>
        </w:rPr>
        <w:t xml:space="preserve"> </w:t>
      </w:r>
      <w:r w:rsidR="00C41924">
        <w:rPr>
          <w:rFonts w:ascii="Times New Roman" w:hAnsi="Times New Roman" w:cs="Times New Roman"/>
          <w:sz w:val="24"/>
          <w:szCs w:val="24"/>
        </w:rPr>
        <w:t xml:space="preserve">From a political stand point he’s explaining that it is indeed beneficial for politics to have a divide in gender because it perpetuates the cultural ideology therefore avoiding a dialectic relationship of any kind.  </w:t>
      </w:r>
    </w:p>
    <w:p w:rsidR="009375AA" w:rsidRDefault="00C41924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Another idea that I picked up on was that </w:t>
      </w:r>
      <w:r w:rsidR="009375A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new to me is the idea that inequality </w:t>
      </w:r>
      <w:r w:rsidR="00514AA7">
        <w:rPr>
          <w:rFonts w:ascii="Times New Roman" w:hAnsi="Times New Roman" w:cs="Times New Roman"/>
          <w:sz w:val="24"/>
          <w:szCs w:val="24"/>
        </w:rPr>
        <w:t>in gender</w:t>
      </w:r>
      <w:r>
        <w:rPr>
          <w:rFonts w:ascii="Times New Roman" w:hAnsi="Times New Roman" w:cs="Times New Roman"/>
          <w:sz w:val="24"/>
          <w:szCs w:val="24"/>
        </w:rPr>
        <w:t>, for on</w:t>
      </w:r>
      <w:r w:rsidR="009375AA">
        <w:rPr>
          <w:rFonts w:ascii="Times New Roman" w:hAnsi="Times New Roman" w:cs="Times New Roman"/>
          <w:sz w:val="24"/>
          <w:szCs w:val="24"/>
        </w:rPr>
        <w:t>e, is</w:t>
      </w:r>
      <w:r>
        <w:rPr>
          <w:rFonts w:ascii="Times New Roman" w:hAnsi="Times New Roman" w:cs="Times New Roman"/>
          <w:sz w:val="24"/>
          <w:szCs w:val="24"/>
        </w:rPr>
        <w:t xml:space="preserve"> extremely</w:t>
      </w:r>
      <w:r w:rsidR="009375AA">
        <w:rPr>
          <w:rFonts w:ascii="Times New Roman" w:hAnsi="Times New Roman" w:cs="Times New Roman"/>
          <w:sz w:val="24"/>
          <w:szCs w:val="24"/>
        </w:rPr>
        <w:t xml:space="preserve"> complex, but</w:t>
      </w:r>
      <w:r>
        <w:rPr>
          <w:rFonts w:ascii="Times New Roman" w:hAnsi="Times New Roman" w:cs="Times New Roman"/>
          <w:sz w:val="24"/>
          <w:szCs w:val="24"/>
        </w:rPr>
        <w:t xml:space="preserve"> also that it can be found in a lot of common places. For example</w:t>
      </w:r>
      <w:r w:rsidR="0093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Scott from his work “</w:t>
      </w:r>
      <w:r>
        <w:rPr>
          <w:rFonts w:ascii="Times New Roman" w:hAnsi="Times New Roman" w:cs="Times New Roman"/>
          <w:sz w:val="24"/>
          <w:szCs w:val="24"/>
        </w:rPr>
        <w:t>Deconstructing Equality-versus-Difference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elaborates on a story about Sears </w:t>
      </w:r>
      <w:r w:rsidR="009375AA">
        <w:rPr>
          <w:rFonts w:ascii="Times New Roman" w:hAnsi="Times New Roman" w:cs="Times New Roman"/>
          <w:sz w:val="24"/>
          <w:szCs w:val="24"/>
        </w:rPr>
        <w:t>and their trial with inequality of it’s workers and their fight for what’s right.</w:t>
      </w:r>
      <w:r w:rsidR="009375A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375AA">
        <w:rPr>
          <w:rFonts w:ascii="Times New Roman" w:hAnsi="Times New Roman" w:cs="Times New Roman"/>
          <w:sz w:val="24"/>
          <w:szCs w:val="24"/>
        </w:rPr>
        <w:t xml:space="preserve"> It seems to be that I am ignorant to the fact that inequality can be perpetuated in many forms over various platforms and I believe in doing the readings this week that I am more aware. I believe that this </w:t>
      </w:r>
      <w:r w:rsidR="00514AA7">
        <w:rPr>
          <w:rFonts w:ascii="Times New Roman" w:hAnsi="Times New Roman" w:cs="Times New Roman"/>
          <w:sz w:val="24"/>
          <w:szCs w:val="24"/>
        </w:rPr>
        <w:t>new-found</w:t>
      </w:r>
      <w:bookmarkStart w:id="0" w:name="_GoBack"/>
      <w:bookmarkEnd w:id="0"/>
      <w:r w:rsidR="009375AA">
        <w:rPr>
          <w:rFonts w:ascii="Times New Roman" w:hAnsi="Times New Roman" w:cs="Times New Roman"/>
          <w:sz w:val="24"/>
          <w:szCs w:val="24"/>
        </w:rPr>
        <w:t xml:space="preserve"> awareness will allow me to recognize and even stand-up for inequalities that I see in my own life thus allowing me to use my knowledge for an important cause. </w:t>
      </w: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Default="009375AA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5AA" w:rsidRPr="00D61A7C" w:rsidRDefault="00D61A7C" w:rsidP="009375AA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6F0B62" w:rsidRDefault="006F0B62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Butler</w:t>
      </w:r>
      <w:r w:rsidR="00711145">
        <w:rPr>
          <w:rFonts w:ascii="Times New Roman" w:hAnsi="Times New Roman" w:cs="Times New Roman"/>
          <w:sz w:val="24"/>
          <w:szCs w:val="24"/>
        </w:rPr>
        <w:t xml:space="preserve">, J., “Subjects of Sex/Gander/Desire,” in </w:t>
      </w:r>
      <w:r w:rsidR="00711145">
        <w:rPr>
          <w:rFonts w:ascii="Times New Roman" w:hAnsi="Times New Roman" w:cs="Times New Roman"/>
          <w:i/>
          <w:sz w:val="24"/>
          <w:szCs w:val="24"/>
        </w:rPr>
        <w:t>Gender Trouble</w:t>
      </w:r>
      <w:r>
        <w:rPr>
          <w:rFonts w:ascii="Times New Roman" w:hAnsi="Times New Roman" w:cs="Times New Roman"/>
          <w:sz w:val="24"/>
          <w:szCs w:val="24"/>
        </w:rPr>
        <w:t>: 2-46.</w:t>
      </w:r>
    </w:p>
    <w:p w:rsidR="00D61A7C" w:rsidRDefault="006F0B62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J, “Deconstructing Equality-versus-Difference,” </w:t>
      </w:r>
      <w:r>
        <w:rPr>
          <w:rFonts w:ascii="Times New Roman" w:hAnsi="Times New Roman" w:cs="Times New Roman"/>
          <w:i/>
          <w:sz w:val="24"/>
          <w:szCs w:val="24"/>
        </w:rPr>
        <w:t xml:space="preserve">Feminist Studies, </w:t>
      </w:r>
      <w:r>
        <w:rPr>
          <w:rFonts w:ascii="Times New Roman" w:hAnsi="Times New Roman" w:cs="Times New Roman"/>
          <w:sz w:val="24"/>
          <w:szCs w:val="24"/>
        </w:rPr>
        <w:t xml:space="preserve">14, 1 (Spring, 1988): </w:t>
      </w:r>
    </w:p>
    <w:p w:rsidR="006F0B62" w:rsidRPr="006F0B62" w:rsidRDefault="00D61A7C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B62">
        <w:rPr>
          <w:rFonts w:ascii="Times New Roman" w:hAnsi="Times New Roman" w:cs="Times New Roman"/>
          <w:sz w:val="24"/>
          <w:szCs w:val="24"/>
        </w:rPr>
        <w:t>32-50</w:t>
      </w:r>
    </w:p>
    <w:p w:rsidR="00E26544" w:rsidRDefault="005A4950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44" w:rsidRPr="00E26544" w:rsidRDefault="00E26544" w:rsidP="005A4950">
      <w:pPr>
        <w:tabs>
          <w:tab w:val="left" w:pos="168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E26544" w:rsidRPr="00E26544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544" w:rsidRPr="003F1ED1" w:rsidRDefault="00E26544" w:rsidP="00E26544">
      <w:pPr>
        <w:rPr>
          <w:rFonts w:ascii="Times New Roman" w:hAnsi="Times New Roman" w:cs="Times New Roman"/>
          <w:sz w:val="24"/>
          <w:szCs w:val="24"/>
        </w:rPr>
      </w:pPr>
    </w:p>
    <w:p w:rsidR="00E26544" w:rsidRDefault="00E26544" w:rsidP="00E2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E26544" w:rsidRPr="00680152" w:rsidRDefault="00E26544" w:rsidP="00E265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“Never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in </w:t>
      </w:r>
      <w:r>
        <w:rPr>
          <w:rFonts w:ascii="Times New Roman" w:hAnsi="Times New Roman" w:cs="Times New Roman"/>
          <w:i/>
          <w:sz w:val="24"/>
          <w:szCs w:val="24"/>
        </w:rPr>
        <w:t>Twilight Zones: The Hidden Life of Cultural Images</w:t>
      </w:r>
    </w:p>
    <w:p w:rsidR="00E26544" w:rsidRDefault="00E26544" w:rsidP="00E2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544" w:rsidRPr="002E17E0" w:rsidRDefault="00E26544" w:rsidP="00E2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Tuchman, Gaye, “</w:t>
      </w:r>
      <w:r w:rsidRPr="002E17E0">
        <w:rPr>
          <w:rFonts w:ascii="Times New Roman" w:hAnsi="Times New Roman" w:cs="Times New Roman"/>
          <w:i/>
          <w:sz w:val="24"/>
          <w:szCs w:val="24"/>
        </w:rPr>
        <w:t>Woman’s Depiction by the Mass Media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2E17E0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4,3 (Spring, 1979)</w:t>
      </w:r>
    </w:p>
    <w:p w:rsidR="00E26544" w:rsidRPr="003F1ED1" w:rsidRDefault="00E26544" w:rsidP="00E26544">
      <w:pPr>
        <w:rPr>
          <w:rFonts w:ascii="Times New Roman" w:hAnsi="Times New Roman" w:cs="Times New Roman"/>
          <w:sz w:val="24"/>
          <w:szCs w:val="24"/>
        </w:rPr>
      </w:pPr>
    </w:p>
    <w:p w:rsidR="001E52F8" w:rsidRDefault="001E52F8"/>
    <w:sectPr w:rsidR="001E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37" w:rsidRDefault="00DB2337" w:rsidP="00E26544">
      <w:pPr>
        <w:spacing w:after="0" w:line="240" w:lineRule="auto"/>
      </w:pPr>
      <w:r>
        <w:separator/>
      </w:r>
    </w:p>
  </w:endnote>
  <w:endnote w:type="continuationSeparator" w:id="0">
    <w:p w:rsidR="00DB2337" w:rsidRDefault="00DB2337" w:rsidP="00E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E" w:rsidRPr="00680152" w:rsidRDefault="00DB2337" w:rsidP="009A2D6E">
    <w:pPr>
      <w:rPr>
        <w:rFonts w:ascii="Times New Roman" w:hAnsi="Times New Roman" w:cs="Times New Roman"/>
        <w:i/>
        <w:sz w:val="24"/>
        <w:szCs w:val="24"/>
      </w:rPr>
    </w:pPr>
  </w:p>
  <w:p w:rsidR="009A2D6E" w:rsidRDefault="00DB2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D1" w:rsidRPr="00680152" w:rsidRDefault="00DB2337" w:rsidP="009A2D6E">
    <w:pPr>
      <w:rPr>
        <w:rFonts w:ascii="Times New Roman" w:hAnsi="Times New Roman" w:cs="Times New Roman"/>
        <w:i/>
        <w:sz w:val="24"/>
        <w:szCs w:val="24"/>
      </w:rPr>
    </w:pPr>
  </w:p>
  <w:p w:rsidR="003F1ED1" w:rsidRDefault="00DB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37" w:rsidRDefault="00DB2337" w:rsidP="00E26544">
      <w:pPr>
        <w:spacing w:after="0" w:line="240" w:lineRule="auto"/>
      </w:pPr>
      <w:r>
        <w:separator/>
      </w:r>
    </w:p>
  </w:footnote>
  <w:footnote w:type="continuationSeparator" w:id="0">
    <w:p w:rsidR="00DB2337" w:rsidRDefault="00DB2337" w:rsidP="00E26544">
      <w:pPr>
        <w:spacing w:after="0" w:line="240" w:lineRule="auto"/>
      </w:pPr>
      <w:r>
        <w:continuationSeparator/>
      </w:r>
    </w:p>
  </w:footnote>
  <w:footnote w:id="1">
    <w:p w:rsidR="006F0B62" w:rsidRDefault="006F0B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Scott, J, “Deconstructing Equality-versus-Difference,” </w:t>
      </w:r>
      <w:r>
        <w:rPr>
          <w:rFonts w:ascii="Times New Roman" w:hAnsi="Times New Roman" w:cs="Times New Roman"/>
          <w:i/>
          <w:sz w:val="24"/>
          <w:szCs w:val="24"/>
        </w:rPr>
        <w:t xml:space="preserve">Feminist Studies, </w:t>
      </w:r>
      <w:r>
        <w:rPr>
          <w:rFonts w:ascii="Times New Roman" w:hAnsi="Times New Roman" w:cs="Times New Roman"/>
          <w:sz w:val="24"/>
          <w:szCs w:val="24"/>
        </w:rPr>
        <w:t>14, 1 (Spring, 1988):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</w:footnote>
  <w:footnote w:id="2">
    <w:p w:rsidR="00B54E02" w:rsidRDefault="00B5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Butler, J., “Subjects of Sex/Gander/Desire,” in </w:t>
      </w:r>
      <w:r>
        <w:rPr>
          <w:rFonts w:ascii="Times New Roman" w:hAnsi="Times New Roman" w:cs="Times New Roman"/>
          <w:i/>
          <w:sz w:val="24"/>
          <w:szCs w:val="24"/>
        </w:rPr>
        <w:t>Gender Trouble</w:t>
      </w:r>
      <w:r>
        <w:rPr>
          <w:rFonts w:ascii="Times New Roman" w:hAnsi="Times New Roman" w:cs="Times New Roman"/>
          <w:i/>
          <w:sz w:val="24"/>
          <w:szCs w:val="24"/>
        </w:rPr>
        <w:t>: 31</w:t>
      </w:r>
    </w:p>
  </w:footnote>
  <w:footnote w:id="3">
    <w:p w:rsidR="009375AA" w:rsidRPr="009375AA" w:rsidRDefault="009375AA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Scott, “Deconstructing Equality,”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44"/>
    <w:rsid w:val="00000CC1"/>
    <w:rsid w:val="00053D11"/>
    <w:rsid w:val="001357F8"/>
    <w:rsid w:val="001E52F8"/>
    <w:rsid w:val="00514AA7"/>
    <w:rsid w:val="005A4950"/>
    <w:rsid w:val="006F0B62"/>
    <w:rsid w:val="00711145"/>
    <w:rsid w:val="008428A3"/>
    <w:rsid w:val="009375AA"/>
    <w:rsid w:val="00A5021D"/>
    <w:rsid w:val="00A72C67"/>
    <w:rsid w:val="00B54E02"/>
    <w:rsid w:val="00C41924"/>
    <w:rsid w:val="00C87708"/>
    <w:rsid w:val="00D61A7C"/>
    <w:rsid w:val="00DB2337"/>
    <w:rsid w:val="00E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5700"/>
  <w15:chartTrackingRefBased/>
  <w15:docId w15:val="{CB831275-DB4E-4D73-BA88-1DB9F9C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44"/>
  </w:style>
  <w:style w:type="paragraph" w:styleId="Header">
    <w:name w:val="header"/>
    <w:basedOn w:val="Normal"/>
    <w:link w:val="HeaderChar"/>
    <w:uiPriority w:val="99"/>
    <w:unhideWhenUsed/>
    <w:rsid w:val="00E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44"/>
  </w:style>
  <w:style w:type="paragraph" w:styleId="FootnoteText">
    <w:name w:val="footnote text"/>
    <w:basedOn w:val="Normal"/>
    <w:link w:val="FootnoteTextChar"/>
    <w:uiPriority w:val="99"/>
    <w:semiHidden/>
    <w:unhideWhenUsed/>
    <w:rsid w:val="006F0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B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9C7CC7-C614-46D0-BDF6-A8F68C9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Rebecca's Computer</dc:creator>
  <cp:keywords/>
  <dc:description/>
  <cp:lastModifiedBy>Rebecca's Computer</cp:lastModifiedBy>
  <cp:revision>4</cp:revision>
  <dcterms:created xsi:type="dcterms:W3CDTF">2017-10-11T02:00:00Z</dcterms:created>
  <dcterms:modified xsi:type="dcterms:W3CDTF">2017-10-11T04:20:00Z</dcterms:modified>
</cp:coreProperties>
</file>